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C7" w:rsidRDefault="00190EC7"/>
    <w:p w:rsidR="005E500A" w:rsidRDefault="005E500A"/>
    <w:p w:rsidR="005E500A" w:rsidRDefault="005E500A" w:rsidP="005E500A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t>Kommunen betaler for opsætningen af skiltene. </w:t>
      </w: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br/>
        <w:t>De 4 miljøzone skilte bliver opsat på følgende adresser: </w:t>
      </w: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br/>
        <w:t>Hellasvej 31 og Spartavej 21 samt et skilt ved hver af de grønne anlæg overfor Pindosvej 24 og Helikonsvej 27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:rsidR="005E500A" w:rsidRDefault="005E500A" w:rsidP="005E500A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5E500A" w:rsidRPr="005E500A" w:rsidRDefault="005E500A" w:rsidP="005E500A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Hellasvej 31 og Spartaveje 21 er blevet orienteret om ovennævnte.</w:t>
      </w: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br/>
        <w:t>Opsætningen af miljøzoneskiltene sker i henhold til </w:t>
      </w:r>
      <w:r w:rsidRPr="005E500A">
        <w:rPr>
          <w:rFonts w:ascii="Helvetica" w:eastAsia="Times New Roman" w:hAnsi="Helvetica" w:cs="Times New Roman"/>
          <w:color w:val="000000"/>
          <w:sz w:val="18"/>
          <w:szCs w:val="18"/>
        </w:rPr>
        <w:br/>
        <w:t>Bekendtgørelse af lov om private fællesveje, LBK nr. 1050 af 17/09/2024  </w:t>
      </w:r>
    </w:p>
    <w:p w:rsidR="005E500A" w:rsidRDefault="005E500A">
      <w:bookmarkStart w:id="0" w:name="_GoBack"/>
      <w:bookmarkEnd w:id="0"/>
    </w:p>
    <w:sectPr w:rsidR="005E500A" w:rsidSect="00884CFD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0A"/>
    <w:rsid w:val="00190EC7"/>
    <w:rsid w:val="005E500A"/>
    <w:rsid w:val="007511C7"/>
    <w:rsid w:val="00884CFD"/>
    <w:rsid w:val="00D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BA0AF"/>
  <w14:defaultImageDpi w14:val="32767"/>
  <w15:chartTrackingRefBased/>
  <w15:docId w15:val="{7FCD629D-EB41-F246-A554-DFED83F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5E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357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Baunstrup</dc:creator>
  <cp:keywords/>
  <dc:description/>
  <cp:lastModifiedBy>Lis Baunstrup</cp:lastModifiedBy>
  <cp:revision>2</cp:revision>
  <dcterms:created xsi:type="dcterms:W3CDTF">2025-01-28T13:11:00Z</dcterms:created>
  <dcterms:modified xsi:type="dcterms:W3CDTF">2025-01-28T13:17:00Z</dcterms:modified>
</cp:coreProperties>
</file>